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0761" w14:textId="77777777" w:rsidR="0066233E" w:rsidRPr="00B523F4" w:rsidRDefault="00B523F4">
      <w:pPr>
        <w:spacing w:after="80"/>
        <w:jc w:val="center"/>
        <w:rPr>
          <w:rFonts w:hint="eastAsia"/>
          <w:lang w:val="fr-CH"/>
        </w:rPr>
      </w:pPr>
      <w:r w:rsidRPr="00B523F4">
        <w:rPr>
          <w:rFonts w:ascii="Noto Serif" w:eastAsia="Noto Serif" w:hAnsi="Noto Serif"/>
          <w:b/>
          <w:color w:val="630D16"/>
          <w:sz w:val="46"/>
          <w:lang w:val="fr-CH"/>
        </w:rPr>
        <w:t>RENCONTRES DE GARGILESSE 2026</w:t>
      </w:r>
    </w:p>
    <w:p w14:paraId="4548EA42" w14:textId="77777777" w:rsidR="0066233E" w:rsidRPr="00B523F4" w:rsidRDefault="00B523F4">
      <w:pPr>
        <w:jc w:val="center"/>
        <w:rPr>
          <w:rFonts w:hint="eastAsia"/>
          <w:lang w:val="fr-CH"/>
        </w:rPr>
      </w:pPr>
      <w:r w:rsidRPr="00B523F4">
        <w:rPr>
          <w:rFonts w:eastAsia="Work Sans"/>
          <w:b/>
          <w:color w:val="A39B8B"/>
          <w:sz w:val="19"/>
          <w:lang w:val="fr-CH"/>
        </w:rPr>
        <w:t>9 - 11 juillet 2026 · Maison du Bailli · Gargilesse-Dampierre</w:t>
      </w:r>
    </w:p>
    <w:p w14:paraId="194FAD89" w14:textId="77777777" w:rsidR="0066233E" w:rsidRPr="00B523F4" w:rsidRDefault="00B523F4">
      <w:pPr>
        <w:spacing w:after="40"/>
        <w:rPr>
          <w:rFonts w:hint="eastAsia"/>
          <w:lang w:val="fr-CH"/>
        </w:rPr>
      </w:pPr>
      <w:r w:rsidRPr="00B523F4">
        <w:rPr>
          <w:rFonts w:eastAsia="Work Sans"/>
          <w:b/>
          <w:color w:val="A39B8B"/>
          <w:sz w:val="17"/>
          <w:lang w:val="fr-CH"/>
        </w:rPr>
        <w:t>SYNTHÈSE DES ENJEUX</w:t>
      </w:r>
    </w:p>
    <w:p w14:paraId="20C12628" w14:textId="5A69AEA6" w:rsidR="0066233E" w:rsidRPr="00B523F4" w:rsidRDefault="00B523F4">
      <w:pPr>
        <w:spacing w:after="100"/>
        <w:rPr>
          <w:rFonts w:hint="eastAsia"/>
          <w:lang w:val="fr-CH"/>
        </w:rPr>
      </w:pPr>
      <w:r w:rsidRPr="00B523F4">
        <w:rPr>
          <w:rFonts w:eastAsia="Work Sans"/>
          <w:color w:val="201A18"/>
          <w:sz w:val="20"/>
          <w:lang w:val="fr-CH"/>
        </w:rPr>
        <w:t>L’IA générative dépasse désormais le cadre de la simple innovation technique</w:t>
      </w:r>
      <w:r>
        <w:rPr>
          <w:rFonts w:eastAsia="Work Sans"/>
          <w:color w:val="201A18"/>
          <w:sz w:val="20"/>
          <w:lang w:val="fr-CH"/>
        </w:rPr>
        <w:t>, elle</w:t>
      </w:r>
      <w:r w:rsidRPr="00B523F4">
        <w:rPr>
          <w:rFonts w:eastAsia="Work Sans"/>
          <w:color w:val="201A18"/>
          <w:sz w:val="20"/>
          <w:lang w:val="fr-CH"/>
        </w:rPr>
        <w:t xml:space="preserve"> redéfini</w:t>
      </w:r>
      <w:r>
        <w:rPr>
          <w:rFonts w:eastAsia="Work Sans"/>
          <w:color w:val="201A18"/>
          <w:sz w:val="20"/>
          <w:lang w:val="fr-CH"/>
        </w:rPr>
        <w:t>t</w:t>
      </w:r>
      <w:r w:rsidRPr="00B523F4">
        <w:rPr>
          <w:rFonts w:eastAsia="Work Sans"/>
          <w:color w:val="201A18"/>
          <w:sz w:val="20"/>
          <w:lang w:val="fr-CH"/>
        </w:rPr>
        <w:t xml:space="preserve"> les frontières de notre autonomie. À </w:t>
      </w:r>
      <w:proofErr w:type="spellStart"/>
      <w:r w:rsidRPr="00B523F4">
        <w:rPr>
          <w:rFonts w:eastAsia="Work Sans"/>
          <w:color w:val="201A18"/>
          <w:sz w:val="20"/>
          <w:lang w:val="fr-CH"/>
        </w:rPr>
        <w:t>Gargilesse</w:t>
      </w:r>
      <w:proofErr w:type="spellEnd"/>
      <w:r w:rsidRPr="00B523F4">
        <w:rPr>
          <w:rFonts w:eastAsia="Work Sans"/>
          <w:color w:val="201A18"/>
          <w:sz w:val="20"/>
          <w:lang w:val="fr-CH"/>
        </w:rPr>
        <w:t>, nous utilis</w:t>
      </w:r>
      <w:r>
        <w:rPr>
          <w:rFonts w:eastAsia="Work Sans"/>
          <w:color w:val="201A18"/>
          <w:sz w:val="20"/>
          <w:lang w:val="fr-CH"/>
        </w:rPr>
        <w:t>er</w:t>
      </w:r>
      <w:r w:rsidRPr="00B523F4">
        <w:rPr>
          <w:rFonts w:eastAsia="Work Sans"/>
          <w:color w:val="201A18"/>
          <w:sz w:val="20"/>
          <w:lang w:val="fr-CH"/>
        </w:rPr>
        <w:t>ons le domaine de la création comme un laboratoire privilégié pour analyser la transition vers de nouvelles formes de décision.</w:t>
      </w:r>
    </w:p>
    <w:p w14:paraId="2CE187A7" w14:textId="2D1FE74A" w:rsidR="0066233E" w:rsidRPr="00B523F4" w:rsidRDefault="00B523F4">
      <w:pPr>
        <w:spacing w:after="100"/>
        <w:rPr>
          <w:rFonts w:hint="eastAsia"/>
          <w:lang w:val="fr-CH"/>
        </w:rPr>
      </w:pPr>
      <w:r w:rsidRPr="00B523F4">
        <w:rPr>
          <w:rFonts w:eastAsia="Work Sans"/>
          <w:color w:val="201A18"/>
          <w:sz w:val="20"/>
          <w:lang w:val="fr-CH"/>
        </w:rPr>
        <w:t>Nous interroge</w:t>
      </w:r>
      <w:r>
        <w:rPr>
          <w:rFonts w:eastAsia="Work Sans"/>
          <w:color w:val="201A18"/>
          <w:sz w:val="20"/>
          <w:lang w:val="fr-CH"/>
        </w:rPr>
        <w:t>r</w:t>
      </w:r>
      <w:r w:rsidRPr="00B523F4">
        <w:rPr>
          <w:rFonts w:eastAsia="Work Sans"/>
          <w:color w:val="201A18"/>
          <w:sz w:val="20"/>
          <w:lang w:val="fr-CH"/>
        </w:rPr>
        <w:t>ons ce point de bascule où l’intention humaine rencontre la logique algorithmique</w:t>
      </w:r>
      <w:r>
        <w:rPr>
          <w:rFonts w:eastAsia="Work Sans"/>
          <w:color w:val="201A18"/>
          <w:sz w:val="20"/>
          <w:lang w:val="fr-CH"/>
        </w:rPr>
        <w:t>,</w:t>
      </w:r>
      <w:r w:rsidRPr="00B523F4">
        <w:rPr>
          <w:rFonts w:eastAsia="Work Sans"/>
          <w:color w:val="201A18"/>
          <w:sz w:val="20"/>
          <w:lang w:val="fr-CH"/>
        </w:rPr>
        <w:t xml:space="preserve"> là où la recherche de la </w:t>
      </w:r>
      <w:r>
        <w:rPr>
          <w:rFonts w:eastAsia="Work Sans"/>
          <w:color w:val="201A18"/>
          <w:sz w:val="20"/>
          <w:lang w:val="fr-CH"/>
        </w:rPr>
        <w:t>nouveauté, du vrai,</w:t>
      </w:r>
      <w:r w:rsidRPr="00B523F4">
        <w:rPr>
          <w:rFonts w:eastAsia="Work Sans"/>
          <w:color w:val="201A18"/>
          <w:sz w:val="20"/>
          <w:lang w:val="fr-CH"/>
        </w:rPr>
        <w:t xml:space="preserve"> entre en dialogue avec la solution la plus probable.</w:t>
      </w:r>
    </w:p>
    <w:p w14:paraId="631DD135" w14:textId="77777777" w:rsidR="0066233E" w:rsidRPr="00B523F4" w:rsidRDefault="00B523F4">
      <w:pPr>
        <w:spacing w:after="100"/>
        <w:rPr>
          <w:rFonts w:hint="eastAsia"/>
          <w:lang w:val="fr-CH"/>
        </w:rPr>
      </w:pPr>
      <w:r w:rsidRPr="00B523F4">
        <w:rPr>
          <w:rFonts w:eastAsia="Work Sans"/>
          <w:color w:val="201A18"/>
          <w:sz w:val="20"/>
          <w:lang w:val="fr-CH"/>
        </w:rPr>
        <w:t>Notre colloque compte explorer trois basculements majeurs.</w:t>
      </w:r>
    </w:p>
    <w:p w14:paraId="09EFB94C" w14:textId="77777777" w:rsidR="0066233E" w:rsidRPr="00B523F4" w:rsidRDefault="00B523F4">
      <w:pPr>
        <w:spacing w:before="240" w:after="100"/>
        <w:rPr>
          <w:rFonts w:hint="eastAsia"/>
          <w:lang w:val="fr-CH"/>
        </w:rPr>
      </w:pPr>
      <w:r w:rsidRPr="00B523F4">
        <w:rPr>
          <w:rFonts w:ascii="Noto Serif" w:eastAsia="Noto Serif" w:hAnsi="Noto Serif"/>
          <w:b/>
          <w:color w:val="630D16"/>
          <w:sz w:val="36"/>
          <w:lang w:val="fr-CH"/>
        </w:rPr>
        <w:t>Trois basculements majeurs</w:t>
      </w:r>
    </w:p>
    <w:p w14:paraId="4CA44052" w14:textId="77777777" w:rsidR="0066233E" w:rsidRPr="00B523F4" w:rsidRDefault="00B523F4">
      <w:pPr>
        <w:spacing w:before="80" w:after="40"/>
        <w:ind w:left="198" w:hanging="85"/>
        <w:rPr>
          <w:rFonts w:hint="eastAsia"/>
          <w:lang w:val="fr-CH"/>
        </w:rPr>
      </w:pPr>
      <w:r w:rsidRPr="00B523F4">
        <w:rPr>
          <w:rFonts w:eastAsia="Work Sans"/>
          <w:b/>
          <w:color w:val="630D16"/>
          <w:sz w:val="22"/>
          <w:lang w:val="fr-CH"/>
        </w:rPr>
        <w:t xml:space="preserve">– </w:t>
      </w:r>
      <w:r w:rsidRPr="00B523F4">
        <w:rPr>
          <w:rFonts w:ascii="Noto Serif" w:eastAsia="Noto Serif" w:hAnsi="Noto Serif"/>
          <w:b/>
          <w:color w:val="630D16"/>
          <w:sz w:val="23"/>
          <w:lang w:val="fr-CH"/>
        </w:rPr>
        <w:t>L'intention face au calcul</w:t>
      </w:r>
    </w:p>
    <w:p w14:paraId="54446DF8" w14:textId="16438435" w:rsidR="0066233E" w:rsidRPr="00B523F4" w:rsidRDefault="00B523F4">
      <w:pPr>
        <w:spacing w:after="100"/>
        <w:ind w:left="312"/>
        <w:rPr>
          <w:rFonts w:hint="eastAsia"/>
          <w:lang w:val="fr-CH"/>
        </w:rPr>
      </w:pPr>
      <w:r w:rsidRPr="00B523F4">
        <w:rPr>
          <w:rFonts w:eastAsia="Work Sans"/>
          <w:color w:val="201A18"/>
          <w:sz w:val="18"/>
          <w:lang w:val="fr-CH"/>
        </w:rPr>
        <w:t xml:space="preserve">Nous </w:t>
      </w:r>
      <w:r>
        <w:rPr>
          <w:rFonts w:eastAsia="Work Sans"/>
          <w:color w:val="201A18"/>
          <w:sz w:val="18"/>
          <w:lang w:val="fr-CH"/>
        </w:rPr>
        <w:t>questionnerons</w:t>
      </w:r>
      <w:r w:rsidRPr="00B523F4">
        <w:rPr>
          <w:rFonts w:eastAsia="Work Sans"/>
          <w:color w:val="201A18"/>
          <w:sz w:val="18"/>
          <w:lang w:val="fr-CH"/>
        </w:rPr>
        <w:t xml:space="preserve"> la nature du geste : comment l’intentionnalité se manifeste-t-elle au sein de la machine ? S'agit-il d'une émergence nouvelle ou d'une modélisation statistique avancée des connaissances ? L'enjeu est de redéfinir la notion d'authenticité dès lors que les mécanismes de l'affect et de la cognition deviennent des objets de modélisation.</w:t>
      </w:r>
    </w:p>
    <w:p w14:paraId="603B9750" w14:textId="77777777" w:rsidR="0066233E" w:rsidRPr="00B523F4" w:rsidRDefault="00B523F4">
      <w:pPr>
        <w:spacing w:before="80" w:after="40"/>
        <w:ind w:left="198" w:hanging="85"/>
        <w:rPr>
          <w:rFonts w:hint="eastAsia"/>
          <w:lang w:val="fr-CH"/>
        </w:rPr>
      </w:pPr>
      <w:r w:rsidRPr="00B523F4">
        <w:rPr>
          <w:rFonts w:eastAsia="Work Sans"/>
          <w:b/>
          <w:color w:val="630D16"/>
          <w:sz w:val="22"/>
          <w:lang w:val="fr-CH"/>
        </w:rPr>
        <w:t xml:space="preserve">– </w:t>
      </w:r>
      <w:r w:rsidRPr="00B523F4">
        <w:rPr>
          <w:rFonts w:ascii="Noto Serif" w:eastAsia="Noto Serif" w:hAnsi="Noto Serif"/>
          <w:b/>
          <w:color w:val="630D16"/>
          <w:sz w:val="23"/>
          <w:lang w:val="fr-CH"/>
        </w:rPr>
        <w:t>De l'outil à l'agentivité</w:t>
      </w:r>
    </w:p>
    <w:p w14:paraId="6928B831" w14:textId="0F3DB4EC" w:rsidR="0066233E" w:rsidRPr="00B523F4" w:rsidRDefault="00B523F4">
      <w:pPr>
        <w:spacing w:after="100"/>
        <w:ind w:left="312"/>
        <w:rPr>
          <w:rFonts w:hint="eastAsia"/>
          <w:lang w:val="fr-CH"/>
        </w:rPr>
      </w:pPr>
      <w:r w:rsidRPr="00B523F4">
        <w:rPr>
          <w:rFonts w:eastAsia="Work Sans"/>
          <w:color w:val="201A18"/>
          <w:sz w:val="18"/>
          <w:lang w:val="fr-CH"/>
        </w:rPr>
        <w:t xml:space="preserve">Le statut de la machine évolue : du rôle d'extension de la main humaine à celui d'une entité dotée d'une agentivité propre. Nous débattrons de </w:t>
      </w:r>
      <w:r>
        <w:rPr>
          <w:rFonts w:eastAsia="Work Sans"/>
          <w:color w:val="201A18"/>
          <w:sz w:val="18"/>
          <w:lang w:val="fr-CH"/>
        </w:rPr>
        <w:t xml:space="preserve">quand </w:t>
      </w:r>
      <w:r w:rsidRPr="00B523F4">
        <w:rPr>
          <w:rFonts w:eastAsia="Work Sans"/>
          <w:color w:val="201A18"/>
          <w:sz w:val="18"/>
          <w:lang w:val="fr-CH"/>
        </w:rPr>
        <w:t>le système cesse</w:t>
      </w:r>
      <w:r w:rsidRPr="00B523F4">
        <w:rPr>
          <w:rFonts w:eastAsia="Work Sans"/>
          <w:color w:val="201A18"/>
          <w:sz w:val="18"/>
          <w:lang w:val="fr-CH"/>
        </w:rPr>
        <w:t xml:space="preserve"> d'être purement exécutif pour intégrer ses </w:t>
      </w:r>
      <w:r w:rsidRPr="00B523F4">
        <w:rPr>
          <w:rFonts w:eastAsia="Work Sans"/>
          <w:color w:val="201A18"/>
          <w:sz w:val="18"/>
          <w:lang w:val="fr-CH"/>
        </w:rPr>
        <w:t xml:space="preserve">logiques </w:t>
      </w:r>
      <w:r w:rsidRPr="00B523F4">
        <w:rPr>
          <w:rFonts w:eastAsia="Work Sans"/>
          <w:color w:val="201A18"/>
          <w:sz w:val="18"/>
          <w:lang w:val="fr-CH"/>
        </w:rPr>
        <w:t xml:space="preserve">propres </w:t>
      </w:r>
      <w:r w:rsidRPr="00B523F4">
        <w:rPr>
          <w:rFonts w:eastAsia="Work Sans"/>
          <w:color w:val="201A18"/>
          <w:sz w:val="18"/>
          <w:lang w:val="fr-CH"/>
        </w:rPr>
        <w:t>de hiérarchisation et de décision.</w:t>
      </w:r>
    </w:p>
    <w:p w14:paraId="5A2F31BA" w14:textId="77777777" w:rsidR="0066233E" w:rsidRPr="00B523F4" w:rsidRDefault="00B523F4">
      <w:pPr>
        <w:spacing w:before="80" w:after="40"/>
        <w:ind w:left="198" w:hanging="85"/>
        <w:rPr>
          <w:rFonts w:hint="eastAsia"/>
          <w:lang w:val="fr-CH"/>
        </w:rPr>
      </w:pPr>
      <w:r w:rsidRPr="00B523F4">
        <w:rPr>
          <w:rFonts w:eastAsia="Work Sans"/>
          <w:b/>
          <w:color w:val="630D16"/>
          <w:sz w:val="22"/>
          <w:lang w:val="fr-CH"/>
        </w:rPr>
        <w:t xml:space="preserve">– </w:t>
      </w:r>
      <w:r w:rsidRPr="00B523F4">
        <w:rPr>
          <w:rFonts w:ascii="Noto Serif" w:eastAsia="Noto Serif" w:hAnsi="Noto Serif"/>
          <w:b/>
          <w:color w:val="630D16"/>
          <w:sz w:val="23"/>
          <w:lang w:val="fr-CH"/>
        </w:rPr>
        <w:t>L'intégrité du patrimoine à l'ère des modèles</w:t>
      </w:r>
    </w:p>
    <w:p w14:paraId="5F93850F" w14:textId="77777777" w:rsidR="0066233E" w:rsidRPr="00B523F4" w:rsidRDefault="00B523F4">
      <w:pPr>
        <w:spacing w:after="100"/>
        <w:ind w:left="312"/>
        <w:rPr>
          <w:rFonts w:hint="eastAsia"/>
          <w:lang w:val="fr-CH"/>
        </w:rPr>
      </w:pPr>
      <w:r w:rsidRPr="00B523F4">
        <w:rPr>
          <w:rFonts w:eastAsia="Work Sans"/>
          <w:color w:val="201A18"/>
          <w:sz w:val="18"/>
          <w:lang w:val="fr-CH"/>
        </w:rPr>
        <w:t>Face à la collecte automatisée de données, nous questionnerons la pérennité des héritages intellectuels. Que deviennent l’intégrité de l’œuvre et la singularité de l’individu lorsque l’expérience humaine, une fois intégrée aux modèles globaux, sert de base au développement de nouveaux systèmes ?</w:t>
      </w:r>
    </w:p>
    <w:p w14:paraId="39647E25" w14:textId="77777777" w:rsidR="0066233E" w:rsidRPr="00B523F4" w:rsidRDefault="0066233E">
      <w:pPr>
        <w:rPr>
          <w:rFonts w:hint="eastAsia"/>
          <w:lang w:val="fr-CH"/>
        </w:rPr>
      </w:pPr>
    </w:p>
    <w:p w14:paraId="5F482848" w14:textId="77777777" w:rsidR="0066233E" w:rsidRPr="00B523F4" w:rsidRDefault="00B523F4">
      <w:pPr>
        <w:spacing w:before="240" w:after="100"/>
        <w:rPr>
          <w:rFonts w:hint="eastAsia"/>
          <w:lang w:val="fr-CH"/>
        </w:rPr>
      </w:pPr>
      <w:r w:rsidRPr="00B523F4">
        <w:rPr>
          <w:rFonts w:ascii="Noto Serif" w:eastAsia="Noto Serif" w:hAnsi="Noto Serif"/>
          <w:b/>
          <w:color w:val="630D16"/>
          <w:sz w:val="36"/>
          <w:lang w:val="fr-CH"/>
        </w:rPr>
        <w:t>PROGRAMME PREVISIONNEL</w:t>
      </w:r>
    </w:p>
    <w:p w14:paraId="6E3E4000" w14:textId="77777777" w:rsidR="0066233E" w:rsidRPr="00B523F4" w:rsidRDefault="00B523F4">
      <w:pPr>
        <w:spacing w:after="160"/>
        <w:rPr>
          <w:rFonts w:hint="eastAsia"/>
          <w:lang w:val="fr-CH"/>
        </w:rPr>
      </w:pPr>
      <w:r w:rsidRPr="00B523F4">
        <w:rPr>
          <w:rFonts w:eastAsia="Work Sans"/>
          <w:i/>
          <w:color w:val="630D16"/>
          <w:sz w:val="19"/>
          <w:lang w:val="fr-CH"/>
        </w:rPr>
        <w:t xml:space="preserve">Afin de faciliter la participation d'intervenants situés loin de </w:t>
      </w:r>
      <w:proofErr w:type="spellStart"/>
      <w:r w:rsidRPr="00B523F4">
        <w:rPr>
          <w:rFonts w:eastAsia="Work Sans"/>
          <w:i/>
          <w:color w:val="630D16"/>
          <w:sz w:val="19"/>
          <w:lang w:val="fr-CH"/>
        </w:rPr>
        <w:t>Gargilesse</w:t>
      </w:r>
      <w:proofErr w:type="spellEnd"/>
      <w:r w:rsidRPr="00B523F4">
        <w:rPr>
          <w:rFonts w:eastAsia="Work Sans"/>
          <w:i/>
          <w:color w:val="630D16"/>
          <w:sz w:val="19"/>
          <w:lang w:val="fr-CH"/>
        </w:rPr>
        <w:t>, plusieurs formats sont possibles : présence sur place, intervention à distance, entretien préparé ou contribution écrite. Chaque format est défini avec l'intervenant selon ses disponibilités.</w:t>
      </w:r>
    </w:p>
    <w:p w14:paraId="652A24C7" w14:textId="77777777" w:rsidR="0066233E" w:rsidRPr="00B523F4" w:rsidRDefault="00B523F4">
      <w:pPr>
        <w:spacing w:after="40"/>
        <w:rPr>
          <w:rFonts w:hint="eastAsia"/>
          <w:lang w:val="fr-CH"/>
        </w:rPr>
      </w:pPr>
      <w:r w:rsidRPr="00B523F4">
        <w:rPr>
          <w:rFonts w:eastAsia="Work Sans"/>
          <w:b/>
          <w:color w:val="A39B8B"/>
          <w:sz w:val="17"/>
          <w:lang w:val="fr-CH"/>
        </w:rPr>
        <w:t>JEUDI 9 JUILLET | ACCUEIL ET IMMERSION</w:t>
      </w:r>
    </w:p>
    <w:tbl>
      <w:tblPr>
        <w:tblW w:w="0" w:type="auto"/>
        <w:jc w:val="center"/>
        <w:tblLayout w:type="fixed"/>
        <w:tblLook w:val="04A0" w:firstRow="1" w:lastRow="0" w:firstColumn="1" w:lastColumn="0" w:noHBand="0" w:noVBand="1"/>
      </w:tblPr>
      <w:tblGrid>
        <w:gridCol w:w="5074"/>
        <w:gridCol w:w="5074"/>
      </w:tblGrid>
      <w:tr w:rsidR="0066233E" w14:paraId="6430DC4B" w14:textId="77777777">
        <w:trPr>
          <w:jc w:val="center"/>
        </w:trPr>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1CD1CBF9" w14:textId="77777777" w:rsidR="0066233E" w:rsidRDefault="00B523F4">
            <w:pPr>
              <w:rPr>
                <w:rFonts w:hint="eastAsia"/>
              </w:rPr>
            </w:pPr>
            <w:proofErr w:type="spellStart"/>
            <w:r>
              <w:rPr>
                <w:rFonts w:eastAsia="Work Sans"/>
                <w:b/>
                <w:color w:val="F9F7F2"/>
                <w:sz w:val="17"/>
              </w:rPr>
              <w:t>Horaire</w:t>
            </w:r>
            <w:proofErr w:type="spellEnd"/>
          </w:p>
        </w:tc>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378AD597" w14:textId="77777777" w:rsidR="0066233E" w:rsidRDefault="00B523F4">
            <w:pPr>
              <w:rPr>
                <w:rFonts w:hint="eastAsia"/>
              </w:rPr>
            </w:pPr>
            <w:r>
              <w:rPr>
                <w:rFonts w:eastAsia="Work Sans"/>
                <w:b/>
                <w:color w:val="F9F7F2"/>
                <w:sz w:val="17"/>
              </w:rPr>
              <w:t>Séquence</w:t>
            </w:r>
          </w:p>
        </w:tc>
      </w:tr>
      <w:tr w:rsidR="0066233E" w:rsidRPr="00B523F4" w14:paraId="7CDD17B2"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41800C4D" w14:textId="77777777" w:rsidR="0066233E" w:rsidRDefault="00B523F4">
            <w:pPr>
              <w:rPr>
                <w:rFonts w:hint="eastAsia"/>
              </w:rPr>
            </w:pPr>
            <w:r>
              <w:rPr>
                <w:rFonts w:eastAsia="Work Sans"/>
                <w:color w:val="201A18"/>
                <w:sz w:val="17"/>
              </w:rPr>
              <w:t>16h00 – 18h30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6864C4C1" w14:textId="77777777" w:rsidR="0066233E" w:rsidRPr="00B523F4" w:rsidRDefault="00B523F4">
            <w:pPr>
              <w:rPr>
                <w:rFonts w:hint="eastAsia"/>
                <w:lang w:val="fr-CH"/>
              </w:rPr>
            </w:pPr>
            <w:r w:rsidRPr="00B523F4">
              <w:rPr>
                <w:rFonts w:eastAsia="Work Sans"/>
                <w:color w:val="201A18"/>
                <w:sz w:val="17"/>
                <w:lang w:val="fr-CH"/>
              </w:rPr>
              <w:t>Accueil personnalisé et installation des intervenants.</w:t>
            </w:r>
          </w:p>
        </w:tc>
      </w:tr>
      <w:tr w:rsidR="0066233E" w:rsidRPr="00B523F4" w14:paraId="7B3BFDBB"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48E303F8" w14:textId="77777777" w:rsidR="0066233E" w:rsidRDefault="00B523F4">
            <w:pPr>
              <w:rPr>
                <w:rFonts w:hint="eastAsia"/>
              </w:rPr>
            </w:pPr>
            <w:r>
              <w:rPr>
                <w:rFonts w:eastAsia="Work Sans"/>
                <w:color w:val="201A18"/>
                <w:sz w:val="17"/>
              </w:rPr>
              <w:t>18h30 – 20h00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481C281F" w14:textId="77777777" w:rsidR="0066233E" w:rsidRPr="00B523F4" w:rsidRDefault="00B523F4">
            <w:pPr>
              <w:rPr>
                <w:rFonts w:hint="eastAsia"/>
                <w:lang w:val="fr-CH"/>
              </w:rPr>
            </w:pPr>
            <w:r w:rsidRPr="00B523F4">
              <w:rPr>
                <w:rFonts w:eastAsia="Work Sans"/>
                <w:color w:val="201A18"/>
                <w:sz w:val="17"/>
                <w:lang w:val="fr-CH"/>
              </w:rPr>
              <w:t>Cocktail d’ouverture et rencontres informelles.</w:t>
            </w:r>
          </w:p>
        </w:tc>
      </w:tr>
      <w:tr w:rsidR="0066233E" w14:paraId="1A1365A3"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4781F248" w14:textId="77777777" w:rsidR="0066233E" w:rsidRDefault="00B523F4">
            <w:pPr>
              <w:rPr>
                <w:rFonts w:hint="eastAsia"/>
              </w:rPr>
            </w:pPr>
            <w:r>
              <w:rPr>
                <w:rFonts w:eastAsia="Work Sans"/>
                <w:color w:val="201A18"/>
                <w:sz w:val="17"/>
              </w:rPr>
              <w:t>20h00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5F389E07" w14:textId="77777777" w:rsidR="0066233E" w:rsidRDefault="00B523F4">
            <w:pPr>
              <w:rPr>
                <w:rFonts w:hint="eastAsia"/>
              </w:rPr>
            </w:pPr>
            <w:r>
              <w:rPr>
                <w:rFonts w:eastAsia="Work Sans"/>
                <w:color w:val="201A18"/>
                <w:sz w:val="17"/>
              </w:rPr>
              <w:t>Dîner dans le village.</w:t>
            </w:r>
          </w:p>
        </w:tc>
      </w:tr>
    </w:tbl>
    <w:p w14:paraId="752ED1B0" w14:textId="77777777" w:rsidR="0066233E" w:rsidRDefault="0066233E">
      <w:pPr>
        <w:rPr>
          <w:rFonts w:hint="eastAsia"/>
        </w:rPr>
      </w:pPr>
    </w:p>
    <w:p w14:paraId="202F44FA" w14:textId="77777777" w:rsidR="0066233E" w:rsidRDefault="00B523F4">
      <w:pPr>
        <w:spacing w:after="40"/>
        <w:rPr>
          <w:rFonts w:hint="eastAsia"/>
        </w:rPr>
      </w:pPr>
      <w:r>
        <w:rPr>
          <w:rFonts w:eastAsia="Work Sans"/>
          <w:b/>
          <w:color w:val="A39B8B"/>
          <w:sz w:val="17"/>
        </w:rPr>
        <w:t>VENDREDI 10 JUILLET | DÉBATS ET PERSPECTIVES</w:t>
      </w:r>
    </w:p>
    <w:tbl>
      <w:tblPr>
        <w:tblW w:w="0" w:type="auto"/>
        <w:jc w:val="center"/>
        <w:tblLayout w:type="fixed"/>
        <w:tblLook w:val="04A0" w:firstRow="1" w:lastRow="0" w:firstColumn="1" w:lastColumn="0" w:noHBand="0" w:noVBand="1"/>
      </w:tblPr>
      <w:tblGrid>
        <w:gridCol w:w="5074"/>
        <w:gridCol w:w="5074"/>
      </w:tblGrid>
      <w:tr w:rsidR="0066233E" w14:paraId="25188AFC" w14:textId="77777777">
        <w:trPr>
          <w:jc w:val="center"/>
        </w:trPr>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5075DDFF" w14:textId="77777777" w:rsidR="0066233E" w:rsidRDefault="00B523F4">
            <w:pPr>
              <w:rPr>
                <w:rFonts w:hint="eastAsia"/>
              </w:rPr>
            </w:pPr>
            <w:r>
              <w:rPr>
                <w:rFonts w:eastAsia="Work Sans"/>
                <w:b/>
                <w:color w:val="F9F7F2"/>
                <w:sz w:val="17"/>
              </w:rPr>
              <w:t>Horaire</w:t>
            </w:r>
          </w:p>
        </w:tc>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54D25BCC" w14:textId="77777777" w:rsidR="0066233E" w:rsidRDefault="00B523F4">
            <w:pPr>
              <w:rPr>
                <w:rFonts w:hint="eastAsia"/>
              </w:rPr>
            </w:pPr>
            <w:r>
              <w:rPr>
                <w:rFonts w:eastAsia="Work Sans"/>
                <w:b/>
                <w:color w:val="F9F7F2"/>
                <w:sz w:val="17"/>
              </w:rPr>
              <w:t>Séquence</w:t>
            </w:r>
          </w:p>
        </w:tc>
      </w:tr>
      <w:tr w:rsidR="0066233E" w:rsidRPr="00B523F4" w14:paraId="2BC985BD"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3998B246" w14:textId="77777777" w:rsidR="0066233E" w:rsidRDefault="00B523F4">
            <w:pPr>
              <w:rPr>
                <w:rFonts w:hint="eastAsia"/>
              </w:rPr>
            </w:pPr>
            <w:r>
              <w:rPr>
                <w:rFonts w:eastAsia="Work Sans"/>
                <w:color w:val="201A18"/>
                <w:sz w:val="17"/>
              </w:rPr>
              <w:t>09h30 – 11h00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15786639" w14:textId="77777777" w:rsidR="00B523F4" w:rsidRDefault="00B523F4">
            <w:pPr>
              <w:rPr>
                <w:rFonts w:eastAsia="Work Sans"/>
                <w:color w:val="201A18"/>
                <w:sz w:val="17"/>
                <w:lang w:val="fr-CH"/>
              </w:rPr>
            </w:pPr>
            <w:r w:rsidRPr="00B523F4">
              <w:rPr>
                <w:rFonts w:eastAsia="Work Sans"/>
                <w:b/>
                <w:bCs/>
                <w:color w:val="201A18"/>
                <w:sz w:val="17"/>
                <w:lang w:val="fr-CH"/>
              </w:rPr>
              <w:t>Session 1</w:t>
            </w:r>
            <w:r w:rsidRPr="00B523F4">
              <w:rPr>
                <w:rFonts w:eastAsia="Work Sans"/>
                <w:color w:val="201A18"/>
                <w:sz w:val="17"/>
                <w:lang w:val="fr-CH"/>
              </w:rPr>
              <w:t xml:space="preserve"> | L’INTENTION FACE AU CALCUL</w:t>
            </w:r>
            <w:r w:rsidRPr="00B523F4">
              <w:rPr>
                <w:rFonts w:eastAsia="Work Sans"/>
                <w:color w:val="201A18"/>
                <w:sz w:val="17"/>
                <w:lang w:val="fr-CH"/>
              </w:rPr>
              <w:br/>
              <w:t xml:space="preserve">Problématique : confrontation entre la modélisation statistique des connaissances et l'authenticité de l’affect. Nous interrogerons l'existence d'une part irréductible du geste humain face aux capacités génératives des </w:t>
            </w:r>
            <w:r w:rsidRPr="00B523F4">
              <w:rPr>
                <w:rFonts w:eastAsia="Work Sans"/>
                <w:color w:val="201A18"/>
                <w:sz w:val="17"/>
                <w:lang w:val="fr-CH"/>
              </w:rPr>
              <w:lastRenderedPageBreak/>
              <w:t xml:space="preserve">systèmes. </w:t>
            </w:r>
          </w:p>
          <w:p w14:paraId="31FC0145" w14:textId="56E7CB8B" w:rsidR="0066233E" w:rsidRPr="00B523F4" w:rsidRDefault="00B523F4">
            <w:pPr>
              <w:rPr>
                <w:rFonts w:hint="eastAsia"/>
                <w:lang w:val="fr-CH"/>
              </w:rPr>
            </w:pPr>
            <w:r w:rsidRPr="00B523F4">
              <w:rPr>
                <w:rFonts w:eastAsia="Work Sans"/>
                <w:color w:val="201A18"/>
                <w:sz w:val="17"/>
                <w:lang w:val="fr-CH"/>
              </w:rPr>
              <w:t>Format : débat de fond filmé en configuration "Laboratoire Vivant".</w:t>
            </w:r>
          </w:p>
        </w:tc>
      </w:tr>
      <w:tr w:rsidR="0066233E" w:rsidRPr="00B523F4" w14:paraId="16B41B08"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6D1C7D0C" w14:textId="77777777" w:rsidR="0066233E" w:rsidRDefault="00B523F4">
            <w:pPr>
              <w:rPr>
                <w:rFonts w:hint="eastAsia"/>
              </w:rPr>
            </w:pPr>
            <w:r>
              <w:rPr>
                <w:rFonts w:eastAsia="Work Sans"/>
                <w:color w:val="201A18"/>
                <w:sz w:val="17"/>
              </w:rPr>
              <w:lastRenderedPageBreak/>
              <w:t>11h00 – 12h15</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78F629F2" w14:textId="75DA672F" w:rsidR="0066233E" w:rsidRPr="00B523F4" w:rsidRDefault="00B523F4">
            <w:pPr>
              <w:rPr>
                <w:rFonts w:hint="eastAsia"/>
                <w:lang w:val="fr-CH"/>
              </w:rPr>
            </w:pPr>
            <w:r>
              <w:rPr>
                <w:rFonts w:eastAsia="Work Sans"/>
                <w:color w:val="201A18"/>
                <w:sz w:val="17"/>
                <w:lang w:val="fr-CH"/>
              </w:rPr>
              <w:t>P</w:t>
            </w:r>
            <w:r w:rsidRPr="00B523F4">
              <w:rPr>
                <w:rFonts w:eastAsia="Work Sans"/>
                <w:color w:val="201A18"/>
                <w:sz w:val="17"/>
                <w:lang w:val="fr-CH"/>
              </w:rPr>
              <w:t>arcours mémoriel</w:t>
            </w:r>
            <w:r w:rsidRPr="00B523F4">
              <w:rPr>
                <w:rFonts w:eastAsia="Work Sans"/>
                <w:color w:val="201A18"/>
                <w:sz w:val="17"/>
                <w:lang w:val="fr-CH"/>
              </w:rPr>
              <w:br/>
              <w:t xml:space="preserve">Visite privée de la Maison de George Sand et du patrimoine de </w:t>
            </w:r>
            <w:proofErr w:type="spellStart"/>
            <w:r w:rsidRPr="00B523F4">
              <w:rPr>
                <w:rFonts w:eastAsia="Work Sans"/>
                <w:color w:val="201A18"/>
                <w:sz w:val="17"/>
                <w:lang w:val="fr-CH"/>
              </w:rPr>
              <w:t>Gargilesse</w:t>
            </w:r>
            <w:proofErr w:type="spellEnd"/>
            <w:r w:rsidRPr="00B523F4">
              <w:rPr>
                <w:rFonts w:eastAsia="Work Sans"/>
                <w:color w:val="201A18"/>
                <w:sz w:val="17"/>
                <w:lang w:val="fr-CH"/>
              </w:rPr>
              <w:t>.</w:t>
            </w:r>
          </w:p>
        </w:tc>
      </w:tr>
      <w:tr w:rsidR="0066233E" w14:paraId="55C6FCF5"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167DCDF6" w14:textId="77777777" w:rsidR="0066233E" w:rsidRDefault="00B523F4">
            <w:pPr>
              <w:rPr>
                <w:rFonts w:hint="eastAsia"/>
              </w:rPr>
            </w:pPr>
            <w:r>
              <w:rPr>
                <w:rFonts w:eastAsia="Work Sans"/>
                <w:color w:val="201A18"/>
                <w:sz w:val="17"/>
              </w:rPr>
              <w:t>12h30 – 14h00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735317DA" w14:textId="09B57D0F" w:rsidR="0066233E" w:rsidRDefault="00B523F4">
            <w:pPr>
              <w:rPr>
                <w:rFonts w:hint="eastAsia"/>
              </w:rPr>
            </w:pPr>
            <w:r>
              <w:rPr>
                <w:rFonts w:eastAsia="Work Sans"/>
                <w:color w:val="201A18"/>
                <w:sz w:val="17"/>
              </w:rPr>
              <w:t>D</w:t>
            </w:r>
            <w:r>
              <w:rPr>
                <w:rFonts w:eastAsia="Work Sans"/>
                <w:color w:val="201A18"/>
                <w:sz w:val="17"/>
              </w:rPr>
              <w:t>éjeuner champêtre.</w:t>
            </w:r>
          </w:p>
        </w:tc>
      </w:tr>
      <w:tr w:rsidR="0066233E" w:rsidRPr="00B523F4" w14:paraId="5CD8FBEF"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4DE31919" w14:textId="77777777" w:rsidR="0066233E" w:rsidRDefault="00B523F4">
            <w:pPr>
              <w:rPr>
                <w:rFonts w:hint="eastAsia"/>
              </w:rPr>
            </w:pPr>
            <w:r>
              <w:rPr>
                <w:rFonts w:eastAsia="Work Sans"/>
                <w:color w:val="201A18"/>
                <w:sz w:val="17"/>
              </w:rPr>
              <w:t>14h00 – 15h30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1C46A29C" w14:textId="086EF7F8" w:rsidR="0066233E" w:rsidRPr="00B523F4" w:rsidRDefault="00B523F4">
            <w:pPr>
              <w:rPr>
                <w:rFonts w:hint="eastAsia"/>
                <w:lang w:val="fr-CH"/>
              </w:rPr>
            </w:pPr>
            <w:r w:rsidRPr="00B523F4">
              <w:rPr>
                <w:rFonts w:eastAsia="Work Sans"/>
                <w:b/>
                <w:bCs/>
                <w:color w:val="201A18"/>
                <w:sz w:val="17"/>
                <w:lang w:val="fr-CH"/>
              </w:rPr>
              <w:t>Session 2</w:t>
            </w:r>
            <w:r w:rsidRPr="00B523F4">
              <w:rPr>
                <w:rFonts w:eastAsia="Work Sans"/>
                <w:color w:val="201A18"/>
                <w:sz w:val="17"/>
                <w:lang w:val="fr-CH"/>
              </w:rPr>
              <w:t xml:space="preserve"> | DE L’OUTIL À L’AGENTIVITÉ</w:t>
            </w:r>
            <w:r w:rsidRPr="00B523F4">
              <w:rPr>
                <w:rFonts w:eastAsia="Work Sans"/>
                <w:color w:val="201A18"/>
                <w:sz w:val="17"/>
                <w:lang w:val="fr-CH"/>
              </w:rPr>
              <w:br/>
              <w:t>Problématique : analyse du passage de l'outil passif à l'autonomie décisionnelle. Comment le déplacement des critères de décision s'opère-t-il lorsque le système génère sa hiérarchie de valeurs ?</w:t>
            </w:r>
          </w:p>
        </w:tc>
      </w:tr>
      <w:tr w:rsidR="0066233E" w:rsidRPr="00B523F4" w14:paraId="10A337A8"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0B45E1AF" w14:textId="77777777" w:rsidR="0066233E" w:rsidRDefault="00B523F4">
            <w:pPr>
              <w:rPr>
                <w:rFonts w:hint="eastAsia"/>
              </w:rPr>
            </w:pPr>
            <w:r>
              <w:rPr>
                <w:rFonts w:eastAsia="Work Sans"/>
                <w:color w:val="201A18"/>
                <w:sz w:val="17"/>
              </w:rPr>
              <w:t>15h30 – 19h00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12EFB298" w14:textId="0783FB28" w:rsidR="0066233E" w:rsidRPr="00B523F4" w:rsidRDefault="00B523F4">
            <w:pPr>
              <w:rPr>
                <w:rFonts w:hint="eastAsia"/>
                <w:lang w:val="fr-CH"/>
              </w:rPr>
            </w:pPr>
            <w:r>
              <w:rPr>
                <w:rFonts w:eastAsia="Work Sans"/>
                <w:color w:val="201A18"/>
                <w:sz w:val="17"/>
                <w:lang w:val="fr-CH"/>
              </w:rPr>
              <w:t>E</w:t>
            </w:r>
            <w:r w:rsidRPr="00B523F4">
              <w:rPr>
                <w:rFonts w:eastAsia="Work Sans"/>
                <w:color w:val="201A18"/>
                <w:sz w:val="17"/>
                <w:lang w:val="fr-CH"/>
              </w:rPr>
              <w:t>ntretiens individuels</w:t>
            </w:r>
            <w:r w:rsidRPr="00B523F4">
              <w:rPr>
                <w:rFonts w:eastAsia="Work Sans"/>
                <w:color w:val="201A18"/>
                <w:sz w:val="17"/>
                <w:lang w:val="fr-CH"/>
              </w:rPr>
              <w:br/>
              <w:t>Série d’interviews thématiques en tête-à-tête pour la contribution au Livre Blanc de l'association.</w:t>
            </w:r>
          </w:p>
        </w:tc>
      </w:tr>
      <w:tr w:rsidR="0066233E" w14:paraId="77294660"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609AD19D" w14:textId="77777777" w:rsidR="0066233E" w:rsidRDefault="00B523F4">
            <w:pPr>
              <w:rPr>
                <w:rFonts w:hint="eastAsia"/>
              </w:rPr>
            </w:pPr>
            <w:r>
              <w:rPr>
                <w:rFonts w:eastAsia="Work Sans"/>
                <w:color w:val="201A18"/>
                <w:sz w:val="17"/>
              </w:rPr>
              <w:t>19h30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2E686CF9" w14:textId="534CBA3C" w:rsidR="0066233E" w:rsidRDefault="00B523F4">
            <w:pPr>
              <w:rPr>
                <w:rFonts w:hint="eastAsia"/>
              </w:rPr>
            </w:pPr>
            <w:r>
              <w:rPr>
                <w:rFonts w:eastAsia="Work Sans"/>
                <w:color w:val="201A18"/>
                <w:sz w:val="17"/>
              </w:rPr>
              <w:t>S</w:t>
            </w:r>
            <w:r>
              <w:rPr>
                <w:rFonts w:eastAsia="Work Sans"/>
                <w:color w:val="201A18"/>
                <w:sz w:val="17"/>
              </w:rPr>
              <w:t>oirée d'échanges et dîner.</w:t>
            </w:r>
          </w:p>
        </w:tc>
      </w:tr>
    </w:tbl>
    <w:p w14:paraId="057DBA61" w14:textId="77777777" w:rsidR="0066233E" w:rsidRDefault="0066233E">
      <w:pPr>
        <w:rPr>
          <w:rFonts w:hint="eastAsia"/>
        </w:rPr>
      </w:pPr>
    </w:p>
    <w:p w14:paraId="4363C520" w14:textId="77777777" w:rsidR="0066233E" w:rsidRDefault="00B523F4">
      <w:pPr>
        <w:spacing w:after="40"/>
        <w:rPr>
          <w:rFonts w:hint="eastAsia"/>
        </w:rPr>
      </w:pPr>
      <w:r>
        <w:rPr>
          <w:rFonts w:eastAsia="Work Sans"/>
          <w:b/>
          <w:color w:val="A39B8B"/>
          <w:sz w:val="17"/>
        </w:rPr>
        <w:t>SAMEDI 11 JUILLET | SYNTHÈSE ET TRANSMISSION</w:t>
      </w:r>
    </w:p>
    <w:tbl>
      <w:tblPr>
        <w:tblW w:w="0" w:type="auto"/>
        <w:jc w:val="center"/>
        <w:tblLayout w:type="fixed"/>
        <w:tblLook w:val="04A0" w:firstRow="1" w:lastRow="0" w:firstColumn="1" w:lastColumn="0" w:noHBand="0" w:noVBand="1"/>
      </w:tblPr>
      <w:tblGrid>
        <w:gridCol w:w="5074"/>
        <w:gridCol w:w="5074"/>
      </w:tblGrid>
      <w:tr w:rsidR="0066233E" w14:paraId="6F4C2338" w14:textId="77777777">
        <w:trPr>
          <w:jc w:val="center"/>
        </w:trPr>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658E24B4" w14:textId="77777777" w:rsidR="0066233E" w:rsidRDefault="00B523F4">
            <w:pPr>
              <w:rPr>
                <w:rFonts w:hint="eastAsia"/>
              </w:rPr>
            </w:pPr>
            <w:r>
              <w:rPr>
                <w:rFonts w:eastAsia="Work Sans"/>
                <w:b/>
                <w:color w:val="F9F7F2"/>
                <w:sz w:val="17"/>
              </w:rPr>
              <w:t>Horaire</w:t>
            </w:r>
          </w:p>
        </w:tc>
        <w:tc>
          <w:tcPr>
            <w:tcW w:w="5074" w:type="dxa"/>
            <w:tcBorders>
              <w:top w:val="single" w:sz="8" w:space="0" w:color="630D16"/>
              <w:left w:val="single" w:sz="8" w:space="0" w:color="630D16"/>
              <w:bottom w:val="single" w:sz="8" w:space="0" w:color="630D16"/>
              <w:right w:val="single" w:sz="8" w:space="0" w:color="630D16"/>
            </w:tcBorders>
            <w:shd w:val="clear" w:color="auto" w:fill="630D16"/>
          </w:tcPr>
          <w:p w14:paraId="1923038E" w14:textId="77777777" w:rsidR="0066233E" w:rsidRDefault="00B523F4">
            <w:pPr>
              <w:rPr>
                <w:rFonts w:hint="eastAsia"/>
              </w:rPr>
            </w:pPr>
            <w:r>
              <w:rPr>
                <w:rFonts w:eastAsia="Work Sans"/>
                <w:b/>
                <w:color w:val="F9F7F2"/>
                <w:sz w:val="17"/>
              </w:rPr>
              <w:t>Séquence</w:t>
            </w:r>
          </w:p>
        </w:tc>
      </w:tr>
      <w:tr w:rsidR="0066233E" w:rsidRPr="00B523F4" w14:paraId="073CB438"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56F003DE" w14:textId="77777777" w:rsidR="0066233E" w:rsidRDefault="00B523F4">
            <w:pPr>
              <w:rPr>
                <w:rFonts w:hint="eastAsia"/>
              </w:rPr>
            </w:pPr>
            <w:r>
              <w:rPr>
                <w:rFonts w:eastAsia="Work Sans"/>
                <w:color w:val="201A18"/>
                <w:sz w:val="17"/>
              </w:rPr>
              <w:t>09h30 – 11h00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01F3C774" w14:textId="77777777" w:rsidR="00B523F4" w:rsidRDefault="00B523F4">
            <w:pPr>
              <w:rPr>
                <w:rFonts w:eastAsia="Work Sans"/>
                <w:color w:val="201A18"/>
                <w:sz w:val="17"/>
                <w:lang w:val="fr-CH"/>
              </w:rPr>
            </w:pPr>
            <w:r w:rsidRPr="00B523F4">
              <w:rPr>
                <w:rFonts w:eastAsia="Work Sans"/>
                <w:b/>
                <w:bCs/>
                <w:color w:val="201A18"/>
                <w:sz w:val="17"/>
                <w:lang w:val="fr-CH"/>
              </w:rPr>
              <w:t>Session 3</w:t>
            </w:r>
            <w:r w:rsidRPr="00B523F4">
              <w:rPr>
                <w:rFonts w:eastAsia="Work Sans"/>
                <w:color w:val="201A18"/>
                <w:sz w:val="17"/>
                <w:lang w:val="fr-CH"/>
              </w:rPr>
              <w:t xml:space="preserve"> | L’INTÉGRITÉ DU PATRIMOINE À L’ÈRE DES MODÈLES</w:t>
            </w:r>
            <w:r w:rsidRPr="00B523F4">
              <w:rPr>
                <w:rFonts w:eastAsia="Work Sans"/>
                <w:color w:val="201A18"/>
                <w:sz w:val="17"/>
                <w:lang w:val="fr-CH"/>
              </w:rPr>
              <w:br/>
              <w:t>Problématique : enjeux de la collecte de données à grande échelle : comment garantir l'intégrité de l'œuvre et la singularité de l’expérience humaine en les considérant comme des ressources non-fongibles ?</w:t>
            </w:r>
          </w:p>
          <w:p w14:paraId="50D14479" w14:textId="72961014" w:rsidR="0066233E" w:rsidRPr="00B523F4" w:rsidRDefault="00B523F4">
            <w:pPr>
              <w:rPr>
                <w:rFonts w:hint="eastAsia"/>
                <w:lang w:val="fr-CH"/>
              </w:rPr>
            </w:pPr>
            <w:r w:rsidRPr="00B523F4">
              <w:rPr>
                <w:rFonts w:eastAsia="Work Sans"/>
                <w:color w:val="201A18"/>
                <w:sz w:val="17"/>
                <w:lang w:val="fr-CH"/>
              </w:rPr>
              <w:t>Format : table ronde finale et clôture des débats.</w:t>
            </w:r>
          </w:p>
        </w:tc>
      </w:tr>
      <w:tr w:rsidR="0066233E" w:rsidRPr="00B523F4" w14:paraId="1B6E868D"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3EDA8F27" w14:textId="77777777" w:rsidR="0066233E" w:rsidRDefault="00B523F4">
            <w:pPr>
              <w:rPr>
                <w:rFonts w:hint="eastAsia"/>
              </w:rPr>
            </w:pPr>
            <w:r>
              <w:rPr>
                <w:rFonts w:eastAsia="Work Sans"/>
                <w:color w:val="201A18"/>
                <w:sz w:val="17"/>
              </w:rPr>
              <w:t>11h00 – 12h00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61B29798" w14:textId="7A1234DB" w:rsidR="0066233E" w:rsidRPr="00B523F4" w:rsidRDefault="00B523F4">
            <w:pPr>
              <w:rPr>
                <w:rFonts w:hint="eastAsia"/>
                <w:lang w:val="fr-CH"/>
              </w:rPr>
            </w:pPr>
            <w:r>
              <w:rPr>
                <w:rFonts w:eastAsia="Work Sans"/>
                <w:color w:val="201A18"/>
                <w:sz w:val="17"/>
                <w:lang w:val="fr-CH"/>
              </w:rPr>
              <w:t>T</w:t>
            </w:r>
            <w:r w:rsidRPr="00B523F4">
              <w:rPr>
                <w:rFonts w:eastAsia="Work Sans"/>
                <w:color w:val="201A18"/>
                <w:sz w:val="17"/>
                <w:lang w:val="fr-CH"/>
              </w:rPr>
              <w:t>emps libre et clôture officielle du colloque.</w:t>
            </w:r>
          </w:p>
        </w:tc>
      </w:tr>
      <w:tr w:rsidR="0066233E" w:rsidRPr="00B523F4" w14:paraId="725A3C5A" w14:textId="77777777">
        <w:trPr>
          <w:jc w:val="center"/>
        </w:trPr>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7A2C8B03" w14:textId="77777777" w:rsidR="0066233E" w:rsidRDefault="00B523F4">
            <w:pPr>
              <w:rPr>
                <w:rFonts w:hint="eastAsia"/>
              </w:rPr>
            </w:pPr>
            <w:r>
              <w:rPr>
                <w:rFonts w:eastAsia="Work Sans"/>
                <w:color w:val="201A18"/>
                <w:sz w:val="17"/>
              </w:rPr>
              <w:t xml:space="preserve">À </w:t>
            </w:r>
            <w:proofErr w:type="spellStart"/>
            <w:r>
              <w:rPr>
                <w:rFonts w:eastAsia="Work Sans"/>
                <w:color w:val="201A18"/>
                <w:sz w:val="17"/>
              </w:rPr>
              <w:t>partir</w:t>
            </w:r>
            <w:proofErr w:type="spellEnd"/>
            <w:r>
              <w:rPr>
                <w:rFonts w:eastAsia="Work Sans"/>
                <w:color w:val="201A18"/>
                <w:sz w:val="17"/>
              </w:rPr>
              <w:t xml:space="preserve"> de 12h00</w:t>
            </w:r>
          </w:p>
        </w:tc>
        <w:tc>
          <w:tcPr>
            <w:tcW w:w="5074" w:type="dxa"/>
            <w:tcBorders>
              <w:top w:val="single" w:sz="6" w:space="0" w:color="D2CBB8"/>
              <w:left w:val="single" w:sz="6" w:space="0" w:color="D2CBB8"/>
              <w:bottom w:val="single" w:sz="6" w:space="0" w:color="D2CBB8"/>
              <w:right w:val="single" w:sz="6" w:space="0" w:color="D2CBB8"/>
            </w:tcBorders>
            <w:shd w:val="clear" w:color="auto" w:fill="FFFFFF"/>
          </w:tcPr>
          <w:p w14:paraId="19DDF059" w14:textId="5AE01E78" w:rsidR="0066233E" w:rsidRPr="00B523F4" w:rsidRDefault="00B523F4">
            <w:pPr>
              <w:rPr>
                <w:rFonts w:hint="eastAsia"/>
                <w:lang w:val="fr-CH"/>
              </w:rPr>
            </w:pPr>
            <w:r>
              <w:rPr>
                <w:rFonts w:eastAsia="Work Sans"/>
                <w:color w:val="201A18"/>
                <w:sz w:val="17"/>
                <w:lang w:val="fr-CH"/>
              </w:rPr>
              <w:t>T</w:t>
            </w:r>
            <w:r w:rsidRPr="00B523F4">
              <w:rPr>
                <w:rFonts w:eastAsia="Work Sans"/>
                <w:color w:val="201A18"/>
                <w:sz w:val="17"/>
                <w:lang w:val="fr-CH"/>
              </w:rPr>
              <w:t>ransferts organisés vers la gare d'Argenton-sur-Creuse.</w:t>
            </w:r>
          </w:p>
        </w:tc>
      </w:tr>
    </w:tbl>
    <w:p w14:paraId="0ACA477A" w14:textId="77777777" w:rsidR="0066233E" w:rsidRPr="00B523F4" w:rsidRDefault="0066233E">
      <w:pPr>
        <w:rPr>
          <w:rFonts w:hint="eastAsia"/>
          <w:lang w:val="fr-CH"/>
        </w:rPr>
      </w:pPr>
    </w:p>
    <w:sectPr w:rsidR="0066233E" w:rsidRPr="00B523F4" w:rsidSect="00034616">
      <w:headerReference w:type="default" r:id="rId8"/>
      <w:footerReference w:type="default" r:id="rId9"/>
      <w:pgSz w:w="11906" w:h="16838"/>
      <w:pgMar w:top="879" w:right="879" w:bottom="822" w:left="8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C3D9" w14:textId="77777777" w:rsidR="00B523F4" w:rsidRDefault="00B523F4">
      <w:pPr>
        <w:spacing w:after="0" w:line="240" w:lineRule="auto"/>
        <w:rPr>
          <w:rFonts w:hint="eastAsia"/>
        </w:rPr>
      </w:pPr>
      <w:r>
        <w:separator/>
      </w:r>
    </w:p>
  </w:endnote>
  <w:endnote w:type="continuationSeparator" w:id="0">
    <w:p w14:paraId="361EE8AD" w14:textId="77777777" w:rsidR="00B523F4" w:rsidRDefault="00B523F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9876" w14:textId="77777777" w:rsidR="0066233E" w:rsidRDefault="00B523F4">
    <w:pPr>
      <w:pStyle w:val="Fuzeile"/>
      <w:jc w:val="center"/>
      <w:rPr>
        <w:rFonts w:hint="eastAsia"/>
      </w:rPr>
    </w:pPr>
    <w:r>
      <w:rPr>
        <w:rFonts w:eastAsia="Work Sans"/>
        <w:color w:val="A39B8B"/>
        <w:sz w:val="16"/>
      </w:rPr>
      <w:t>Toiles de Données · datacanvas.space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BB89" w14:textId="77777777" w:rsidR="00B523F4" w:rsidRDefault="00B523F4">
      <w:pPr>
        <w:spacing w:after="0" w:line="240" w:lineRule="auto"/>
        <w:rPr>
          <w:rFonts w:hint="eastAsia"/>
        </w:rPr>
      </w:pPr>
      <w:r>
        <w:separator/>
      </w:r>
    </w:p>
  </w:footnote>
  <w:footnote w:type="continuationSeparator" w:id="0">
    <w:p w14:paraId="749E6075" w14:textId="77777777" w:rsidR="00B523F4" w:rsidRDefault="00B523F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0FA1" w14:textId="77777777" w:rsidR="0066233E" w:rsidRDefault="00B523F4">
    <w:pPr>
      <w:pStyle w:val="Kopfzeile"/>
      <w:jc w:val="right"/>
      <w:rPr>
        <w:rFonts w:hint="eastAsia"/>
      </w:rPr>
    </w:pPr>
    <w:r>
      <w:rPr>
        <w:rFonts w:eastAsia="Work Sans"/>
        <w:b/>
        <w:color w:val="A39B8B"/>
        <w:sz w:val="16"/>
      </w:rPr>
      <w:t>RENCONTRES DE GARGILESSE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35257086">
    <w:abstractNumId w:val="8"/>
  </w:num>
  <w:num w:numId="2" w16cid:durableId="533426892">
    <w:abstractNumId w:val="6"/>
  </w:num>
  <w:num w:numId="3" w16cid:durableId="701250749">
    <w:abstractNumId w:val="5"/>
  </w:num>
  <w:num w:numId="4" w16cid:durableId="1535465821">
    <w:abstractNumId w:val="4"/>
  </w:num>
  <w:num w:numId="5" w16cid:durableId="971326076">
    <w:abstractNumId w:val="7"/>
  </w:num>
  <w:num w:numId="6" w16cid:durableId="829171993">
    <w:abstractNumId w:val="3"/>
  </w:num>
  <w:num w:numId="7" w16cid:durableId="844444252">
    <w:abstractNumId w:val="2"/>
  </w:num>
  <w:num w:numId="8" w16cid:durableId="2058623837">
    <w:abstractNumId w:val="1"/>
  </w:num>
  <w:num w:numId="9" w16cid:durableId="177478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1FC6"/>
    <w:rsid w:val="0066233E"/>
    <w:rsid w:val="00AA1D8D"/>
    <w:rsid w:val="00B47730"/>
    <w:rsid w:val="00B523F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C1A60"/>
  <w14:defaultImageDpi w14:val="300"/>
  <w15:docId w15:val="{F2AB2BE5-71BF-492E-B56B-C3399474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Work Sans" w:hAnsi="Work Sans"/>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Laurent Trousselle</cp:lastModifiedBy>
  <cp:revision>2</cp:revision>
  <dcterms:created xsi:type="dcterms:W3CDTF">2026-05-10T11:56:00Z</dcterms:created>
  <dcterms:modified xsi:type="dcterms:W3CDTF">2026-05-10T11:56:00Z</dcterms:modified>
  <cp:category/>
</cp:coreProperties>
</file>